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ОТЧЕТ</w:t>
      </w:r>
    </w:p>
    <w:p>
      <w:pPr>
        <w:pStyle w:val="Normal"/>
        <w:jc w:val="center"/>
        <w:rPr/>
      </w:pPr>
      <w:r>
        <w:rPr/>
        <w:t>за дейността на НЧ „Пробуждане-1907“ с. Тученица през 20</w:t>
      </w:r>
      <w:r>
        <w:rPr>
          <w:lang w:val="ru-RU"/>
        </w:rPr>
        <w:t>20</w:t>
      </w:r>
      <w:r>
        <w:rPr/>
        <w:t>г.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>
        <w:rPr>
          <w:b/>
          <w:u w:val="single"/>
        </w:rPr>
        <w:t>. Актуално състояние на читалището като сдружение и културен център с материално-технически възможности за предоставяне на услуги:</w:t>
      </w:r>
    </w:p>
    <w:p>
      <w:pPr>
        <w:pStyle w:val="Normal"/>
        <w:jc w:val="both"/>
        <w:rPr/>
      </w:pPr>
      <w:r>
        <w:rPr>
          <w:b/>
        </w:rPr>
        <w:t>1. Брой регистрирани членове</w:t>
      </w:r>
      <w:r>
        <w:rPr/>
        <w:t xml:space="preserve"> – 62; събран членски внос – 124.00 лв.</w:t>
      </w:r>
    </w:p>
    <w:p>
      <w:pPr>
        <w:pStyle w:val="Normal"/>
        <w:jc w:val="both"/>
        <w:rPr/>
      </w:pPr>
      <w:r>
        <w:rPr>
          <w:b/>
        </w:rPr>
        <w:t>2. Брой посетители на предоставяните от читалището услуги</w:t>
      </w:r>
      <w:r>
        <w:rPr/>
        <w:t xml:space="preserve"> – 102, брой посещения –513</w:t>
      </w:r>
    </w:p>
    <w:p>
      <w:pPr>
        <w:pStyle w:val="Normal"/>
        <w:jc w:val="both"/>
        <w:rPr/>
      </w:pPr>
      <w:r>
        <w:rPr>
          <w:b/>
        </w:rPr>
        <w:t>3. Проведени събрания</w:t>
      </w:r>
      <w:r>
        <w:rPr/>
        <w:t>: общи – 2; на настоятелството – 4;</w:t>
      </w:r>
    </w:p>
    <w:p>
      <w:pPr>
        <w:pStyle w:val="Normal"/>
        <w:jc w:val="both"/>
        <w:rPr/>
      </w:pPr>
      <w:r>
        <w:rPr>
          <w:b/>
        </w:rPr>
        <w:t>4. Извършена пререгистрация на читалището в определения от ЗНЧ срок</w:t>
      </w:r>
      <w:r>
        <w:rPr/>
        <w:t xml:space="preserve"> – ДА</w:t>
      </w:r>
    </w:p>
    <w:p>
      <w:pPr>
        <w:pStyle w:val="Normal"/>
        <w:jc w:val="both"/>
        <w:rPr/>
      </w:pPr>
      <w:r>
        <w:rPr>
          <w:b/>
        </w:rPr>
        <w:t>5. Субсидирана численост на читалището в предходната година</w:t>
      </w:r>
      <w:r>
        <w:rPr/>
        <w:t xml:space="preserve"> – 1,5 щата</w:t>
      </w:r>
    </w:p>
    <w:p>
      <w:pPr>
        <w:pStyle w:val="Normal"/>
        <w:jc w:val="both"/>
        <w:rPr/>
      </w:pPr>
      <w:r>
        <w:rPr>
          <w:b/>
        </w:rPr>
        <w:t>6. Общ бюджет на читалището за предходната година</w:t>
      </w:r>
      <w:r>
        <w:rPr/>
        <w:t xml:space="preserve"> – 14 </w:t>
      </w:r>
      <w:r>
        <w:rPr/>
        <w:t>479</w:t>
      </w:r>
      <w:r>
        <w:rPr/>
        <w:t xml:space="preserve"> лв: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държавна субсидия – 14 355 лв;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lang w:val="ru-RU"/>
        </w:rPr>
        <w:t xml:space="preserve">членски внос за 2020г. – </w:t>
      </w:r>
      <w:r>
        <w:rPr>
          <w:lang w:val="bg-BG"/>
        </w:rPr>
        <w:t>124,00</w:t>
      </w:r>
      <w:r>
        <w:rPr>
          <w:lang w:val="ru-RU"/>
        </w:rPr>
        <w:t xml:space="preserve"> лв;</w:t>
      </w:r>
    </w:p>
    <w:p>
      <w:pPr>
        <w:pStyle w:val="ListParagraph"/>
        <w:ind w:left="7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b/>
        </w:rPr>
        <w:t>7. Материално-техническа база на читалището</w:t>
      </w:r>
      <w:r>
        <w:rPr/>
        <w:t>:</w:t>
      </w:r>
    </w:p>
    <w:p>
      <w:pPr>
        <w:pStyle w:val="Normal"/>
        <w:jc w:val="both"/>
        <w:rPr/>
      </w:pPr>
      <w:r>
        <w:rPr/>
        <w:t xml:space="preserve">а) Наличие на обществено достъпен сграден фонд и помещения за читалищна дейност, с </w:t>
      </w:r>
      <w:bookmarkStart w:id="0" w:name="__DdeLink__717_3184716385"/>
      <w:r>
        <w:rPr/>
        <w:t xml:space="preserve">осигурен физически достъп за хора с увреждания – </w:t>
      </w:r>
      <w:bookmarkStart w:id="1" w:name="__DdeLink__159_1151723784"/>
      <w:r>
        <w:rPr/>
        <w:t>Читалището се намира на партера и има осигурен достъп на хора с увреждания.</w:t>
      </w:r>
      <w:bookmarkEnd w:id="0"/>
      <w:bookmarkEnd w:id="1"/>
    </w:p>
    <w:p>
      <w:pPr>
        <w:pStyle w:val="Normal"/>
        <w:jc w:val="both"/>
        <w:rPr/>
      </w:pPr>
      <w:r>
        <w:rPr/>
        <w:t xml:space="preserve">б) Наличие на технически средства и интернет: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компютри – 1 бр.,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многофункционално устройство 3 в 1 (ксерокс, скенер, принтер) – 1 бр.,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преносим компютър – 1 бр.,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интернет – ДА.</w:t>
      </w:r>
    </w:p>
    <w:p>
      <w:pPr>
        <w:pStyle w:val="Normal"/>
        <w:jc w:val="both"/>
        <w:rPr/>
      </w:pPr>
      <w:r>
        <w:rPr>
          <w:b/>
        </w:rPr>
        <w:t>8. Управленческа инициатива при стопанисване на читалищната собственост и набиране на собствени приходи:</w:t>
      </w:r>
      <w:r>
        <w:rPr/>
        <w:t xml:space="preserve"> от субсидии от бюджета, от членски внос, от защитени проекти, от дарения, от спонсори и др.</w:t>
      </w:r>
    </w:p>
    <w:p>
      <w:pPr>
        <w:pStyle w:val="Normal"/>
        <w:jc w:val="both"/>
        <w:rPr>
          <w:b/>
          <w:b/>
        </w:rPr>
      </w:pPr>
      <w:r>
        <w:rPr>
          <w:b/>
        </w:rPr>
        <w:t>9. 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 - НЕ</w:t>
      </w:r>
    </w:p>
    <w:p>
      <w:pPr>
        <w:pStyle w:val="Normal"/>
        <w:jc w:val="both"/>
        <w:rPr/>
      </w:pPr>
      <w:r>
        <w:rPr>
          <w:b/>
        </w:rPr>
        <w:t>10. Наложени санкции на читалището по чл. 31, 32 и 33 от ЗНЧ</w:t>
      </w:r>
      <w:r>
        <w:rPr/>
        <w:t xml:space="preserve"> - НЕ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II</w:t>
      </w:r>
      <w:r>
        <w:rPr>
          <w:b/>
          <w:u w:val="single"/>
        </w:rPr>
        <w:t>. Дейност на читалището в предходната година:</w:t>
      </w:r>
    </w:p>
    <w:p>
      <w:pPr>
        <w:pStyle w:val="Normal"/>
        <w:jc w:val="both"/>
        <w:rPr>
          <w:b/>
          <w:b/>
        </w:rPr>
      </w:pPr>
      <w:r>
        <w:rPr>
          <w:b/>
        </w:rPr>
        <w:t>1. Осъществена библиотечно-информационна дейност:</w:t>
      </w:r>
    </w:p>
    <w:p>
      <w:pPr>
        <w:pStyle w:val="Normal"/>
        <w:jc w:val="both"/>
        <w:rPr/>
      </w:pPr>
      <w:r>
        <w:rPr/>
        <w:t xml:space="preserve">а) набавени нови източници – 90 книги (закупени – 34, от дарение-56) </w:t>
      </w:r>
    </w:p>
    <w:p>
      <w:pPr>
        <w:pStyle w:val="Normal"/>
        <w:jc w:val="both"/>
        <w:rPr/>
      </w:pPr>
      <w:r>
        <w:rPr/>
        <w:t>б) брой обслужени посетители – 102, от тях читатели - 43: ;</w:t>
      </w:r>
    </w:p>
    <w:p>
      <w:pPr>
        <w:pStyle w:val="Normal"/>
        <w:jc w:val="both"/>
        <w:rPr/>
      </w:pPr>
      <w:r>
        <w:rPr/>
        <w:t>в) степен на автоматизиране на библиотечните процеси – НЕ</w:t>
      </w:r>
    </w:p>
    <w:p>
      <w:pPr>
        <w:pStyle w:val="Normal"/>
        <w:jc w:val="both"/>
        <w:rPr/>
      </w:pPr>
      <w:r>
        <w:rPr>
          <w:b/>
        </w:rPr>
        <w:t>2. Нематериално културно наследство – съхраняване и предаване на традиционна култура:</w:t>
      </w:r>
      <w:r>
        <w:rPr/>
        <w:t xml:space="preserve"> към читалището е сформирана група за автентичен фолклор, която представя народни обичаи.</w:t>
      </w:r>
    </w:p>
    <w:p>
      <w:pPr>
        <w:pStyle w:val="Normal"/>
        <w:jc w:val="both"/>
        <w:rPr/>
      </w:pPr>
      <w:r>
        <w:rPr>
          <w:b/>
        </w:rPr>
        <w:t>3. Езикови школи, клубове, кръжоци, ателиета, студиа, курсове по изкуства, математика, природни и хуманитарни науки, информационни технологии, краеведска и издателска дейност и др.</w:t>
      </w:r>
    </w:p>
    <w:p>
      <w:pPr>
        <w:pStyle w:val="Normal"/>
        <w:jc w:val="both"/>
        <w:rPr/>
      </w:pPr>
      <w:r>
        <w:rPr>
          <w:b/>
        </w:rPr>
        <w:t>4. Поддържане и доказани изяви на художествените състави</w:t>
      </w:r>
      <w:r>
        <w:rPr/>
        <w:t xml:space="preserve">: </w:t>
      </w:r>
    </w:p>
    <w:p>
      <w:pPr>
        <w:pStyle w:val="Normal"/>
        <w:ind w:firstLine="708"/>
        <w:jc w:val="both"/>
        <w:rPr/>
      </w:pPr>
      <w:r>
        <w:rPr/>
        <w:t>Към читалището функционират Певческа група „Българка“, ко</w:t>
      </w:r>
      <w:r>
        <w:rPr/>
        <w:t>я</w:t>
      </w:r>
      <w:r>
        <w:rPr/>
        <w:t>то участва във фестивали на регионално и национално ниво.</w:t>
      </w:r>
    </w:p>
    <w:p>
      <w:pPr>
        <w:pStyle w:val="Normal"/>
        <w:jc w:val="both"/>
        <w:rPr>
          <w:b/>
          <w:b/>
        </w:rPr>
      </w:pPr>
      <w:r>
        <w:rPr>
          <w:b/>
        </w:rPr>
        <w:t>5. Създаване и обновяване на колекции с културни ценности – НЕ</w:t>
      </w:r>
    </w:p>
    <w:p>
      <w:pPr>
        <w:pStyle w:val="Normal"/>
        <w:jc w:val="both"/>
        <w:rPr/>
      </w:pPr>
      <w:r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  <w:r>
        <w:rPr/>
        <w:t xml:space="preserve"> </w:t>
      </w:r>
    </w:p>
    <w:p>
      <w:pPr>
        <w:pStyle w:val="Normal"/>
        <w:jc w:val="both"/>
        <w:rPr/>
      </w:pPr>
      <w:r>
        <w:rPr/>
        <w:t xml:space="preserve">Участия на Женска </w:t>
      </w:r>
      <w:r>
        <w:rPr>
          <w:lang w:val="bg-BG"/>
        </w:rPr>
        <w:t>певческа група „Българка“</w:t>
      </w:r>
      <w:r>
        <w:rPr/>
        <w:t>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lang w:val="en-US"/>
        </w:rPr>
        <w:t>V</w:t>
      </w:r>
      <w:r>
        <w:rPr/>
        <w:t xml:space="preserve">-ти национален фолклорен събор „Ритъмът на България“- гр.Ловеч;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Тържество в с. Тученица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Концерт за Храмов празник на с.Коиловци;</w:t>
      </w:r>
    </w:p>
    <w:p>
      <w:pPr>
        <w:pStyle w:val="ListParagraph"/>
        <w:ind w:left="720" w:hanging="0"/>
        <w:jc w:val="both"/>
        <w:rPr/>
      </w:pPr>
      <w:r>
        <w:rPr/>
      </w:r>
    </w:p>
    <w:p>
      <w:pPr>
        <w:pStyle w:val="ListParagraph"/>
        <w:ind w:left="720" w:hanging="0"/>
        <w:jc w:val="both"/>
        <w:rPr/>
      </w:pPr>
      <w:r>
        <w:rPr/>
        <w:t>Участия на Детски театрален състав: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 xml:space="preserve">Нов летен спектакъл „Пепеляшка" - с. Тученица. </w:t>
      </w:r>
    </w:p>
    <w:p>
      <w:pPr>
        <w:pStyle w:val="Normal"/>
        <w:numPr>
          <w:ilvl w:val="0"/>
          <w:numId w:val="5"/>
        </w:numPr>
        <w:jc w:val="both"/>
        <w:rPr/>
      </w:pPr>
      <w:r>
        <w:rPr/>
        <w:t>„</w:t>
      </w:r>
      <w:r>
        <w:rPr/>
        <w:t>Лятно детско парти“ - с. Тученица</w:t>
      </w:r>
    </w:p>
    <w:p>
      <w:pPr>
        <w:pStyle w:val="Normal"/>
        <w:ind w:left="360" w:hanging="0"/>
        <w:jc w:val="both"/>
        <w:rPr/>
      </w:pPr>
      <w:r>
        <w:rPr/>
        <w:t>Други дейности: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lang w:val="en-US"/>
        </w:rPr>
        <w:t>I</w:t>
      </w:r>
      <w:r>
        <w:rPr/>
        <w:t>-ви читалищен турнир по футбол, организиран съвместно със селата Брестовец, Тодорово и Бохот;</w:t>
      </w:r>
    </w:p>
    <w:p>
      <w:pPr>
        <w:pStyle w:val="Normal"/>
        <w:jc w:val="both"/>
        <w:rPr/>
      </w:pPr>
      <w:r>
        <w:rPr>
          <w:b/>
        </w:rPr>
        <w:t xml:space="preserve">7. Нови дейности, заложени в програмата на читалището, в т.ч. работа по проекти, осъществено сътрудничество с други културни институции.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Читалището работи в сътрудничество с кметство с.Тученица, Клуб на пенсионера и инвалида – с.Тученица;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През изминалата година реализирахме съвместни мероприятия с читалището в село Коиловци;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8. 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 читалището; работа с представители на етнически общности.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Успешно партньорство имаме и с Клуба на пенсионера и инвалида в с. Тученица.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Читалището се намира на партера и има осигурен достъп на хора с увреждания.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>От субсидията е направен цялостен ремонт на читалището.</w:t>
      </w:r>
    </w:p>
    <w:p>
      <w:pPr>
        <w:pStyle w:val="Normal"/>
        <w:numPr>
          <w:ilvl w:val="0"/>
          <w:numId w:val="6"/>
        </w:numPr>
        <w:jc w:val="both"/>
        <w:rPr/>
      </w:pPr>
      <w:r>
        <w:rPr/>
        <w:t xml:space="preserve">Получено е дарение от арендатора на с.Тученица г-н Тодоров – ламинат.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III</w:t>
      </w:r>
      <w:r>
        <w:rPr>
          <w:b/>
          <w:u w:val="single"/>
          <w:lang w:val="ru-RU"/>
        </w:rPr>
        <w:t>.</w:t>
      </w:r>
      <w:r>
        <w:rPr>
          <w:b/>
          <w:u w:val="single"/>
        </w:rPr>
        <w:t xml:space="preserve"> Представяне и защита на програмата на читалището, в изпълнение на чл. 26(а) от ЗНЧ: </w:t>
      </w:r>
    </w:p>
    <w:p>
      <w:pPr>
        <w:pStyle w:val="Normal"/>
        <w:jc w:val="both"/>
        <w:rPr/>
      </w:pPr>
      <w:r>
        <w:rPr/>
        <w:tab/>
        <w:t xml:space="preserve">В културния календар  за 2021г. са заложени участия на Женската певческа група, според финансовите възможности на читалището. С Детският театрален състав ще се проведе нов летен спактакъл. Мероприятия на местно ниво за отбелязване на национални и християнски празници,  летни занимания с деца и др. </w:t>
      </w:r>
    </w:p>
    <w:p>
      <w:pPr>
        <w:pStyle w:val="Normal"/>
        <w:rPr/>
      </w:pPr>
      <w:r>
        <w:rPr/>
        <w:t xml:space="preserve">05.01.2021г.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  <w:r>
        <w:rPr/>
        <w:t>Изготвил:.............................................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</w:t>
      </w:r>
      <w:r>
        <w:rPr/>
        <w:t>(Г.Георгиева)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Председател:…………………………..……….</w:t>
      </w:r>
    </w:p>
    <w:p>
      <w:pPr>
        <w:pStyle w:val="Normal"/>
        <w:spacing w:before="0" w:after="200"/>
        <w:jc w:val="center"/>
        <w:rPr/>
      </w:pPr>
      <w:r>
        <w:rPr/>
        <w:t xml:space="preserve">                                                                                                                                              </w:t>
      </w:r>
      <w:r>
        <w:rPr/>
        <w:t>(И.Иванова)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eastAsia="Calibri" w:cs="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eastAsia="Calibri" w:cs="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Calibri" w:cs="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407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Application>LibreOffice/6.1.6.3$Windows_X86_64 LibreOffice_project/5896ab1714085361c45cf540f76f60673dd96a72</Application>
  <Pages>3</Pages>
  <Words>631</Words>
  <Characters>3694</Characters>
  <CharactersWithSpaces>4783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2016-01-12T07:51:00Z</dcterms:created>
  <dc:creator>Sashko</dc:creator>
  <dc:description/>
  <dc:language>bg-BG</dc:language>
  <cp:lastModifiedBy/>
  <dcterms:modified xsi:type="dcterms:W3CDTF">2021-04-02T13:16:27Z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